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 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strajk szkoln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>ą</w:t>
            </w:r>
            <w:r w:rsidR="003A6E24">
              <w:rPr>
                <w:rFonts w:ascii="Calibri" w:hAnsi="Calibri" w:cs="HelveticaNeueLTPro-Roman"/>
              </w:rPr>
              <w:t xml:space="preserve">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wskazuje cele ich </w:t>
            </w:r>
            <w:r w:rsidR="009331DE" w:rsidRPr="00267889">
              <w:rPr>
                <w:rFonts w:ascii="Calibri" w:hAnsi="Calibri" w:cs="Times New Roman"/>
              </w:rPr>
              <w:lastRenderedPageBreak/>
              <w:t>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(1916),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Rokitną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(1915), kryzysu przysięgowego (VII 1917), bitwy pod Kaniowem (1918), </w:t>
            </w:r>
            <w:r w:rsidRPr="00267889">
              <w:rPr>
                <w:rFonts w:ascii="Calibri" w:hAnsi="Calibri" w:cs="HelveticaNeueLTPro-Roman"/>
              </w:rPr>
              <w:lastRenderedPageBreak/>
              <w:t>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wybuchu rewolucji lutowej (8 III 1917), wybuchu rewolucji 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dwuwładza, bolszewicy, tezy kwietniowe, Rada Komisarzy Ludowych, Armia Czerwona, łagry, 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konstytucji (VII 1918), </w:t>
            </w:r>
            <w:r w:rsidRPr="00267889">
              <w:rPr>
                <w:rFonts w:ascii="Calibri" w:hAnsi="Calibri" w:cs="HelveticaNeueLTPro-Roman"/>
              </w:rPr>
              <w:lastRenderedPageBreak/>
              <w:t>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Georgesa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</w:t>
            </w:r>
            <w:proofErr w:type="spellStart"/>
            <w:r w:rsidRPr="00267889">
              <w:rPr>
                <w:rFonts w:ascii="Calibri" w:hAnsi="Calibri" w:cs="HelveticaNeueLTPro-Roman"/>
              </w:rPr>
              <w:t>Beselera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antysemityzm,  </w:t>
            </w:r>
            <w:proofErr w:type="spellStart"/>
            <w:r w:rsidRPr="00267889">
              <w:rPr>
                <w:rFonts w:ascii="Calibri" w:hAnsi="Calibri" w:cs="HelveticaNeueLTPro-Roman"/>
              </w:rPr>
              <w:t>führer</w:t>
            </w:r>
            <w:proofErr w:type="spellEnd"/>
            <w:r w:rsidRPr="00267889">
              <w:rPr>
                <w:rFonts w:ascii="Calibri" w:hAnsi="Calibri" w:cs="HelveticaNeueLTPro-Roman"/>
              </w:rPr>
              <w:t>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Benita Mussoliniego, Adolfa </w:t>
            </w:r>
            <w:r w:rsidRPr="00267889">
              <w:rPr>
                <w:rFonts w:ascii="Calibri" w:hAnsi="Calibri" w:cs="HelveticaNeueLTPro-Roman"/>
              </w:rPr>
              <w:lastRenderedPageBreak/>
              <w:t>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paktów laterańskich 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</w:t>
            </w:r>
            <w:r w:rsidRPr="00267889">
              <w:rPr>
                <w:rFonts w:ascii="Calibri" w:hAnsi="Calibri" w:cs="HelveticaNeueLTPro-Roman"/>
              </w:rPr>
              <w:lastRenderedPageBreak/>
              <w:t>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Reichstagu (II 1933), przejęcia pełnej władzy w Niemczech </w:t>
            </w:r>
            <w:r w:rsidRPr="00267889">
              <w:rPr>
                <w:rFonts w:ascii="Calibri" w:hAnsi="Calibri" w:cs="HelveticaNeueLTPro-Roman"/>
              </w:rPr>
              <w:lastRenderedPageBreak/>
              <w:t>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wersalskiego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lastRenderedPageBreak/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>nych układu 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</w:t>
            </w:r>
            <w:r w:rsidR="009331DE">
              <w:rPr>
                <w:rFonts w:asciiTheme="minorHAnsi" w:hAnsiTheme="minorHAnsi" w:cstheme="minorHAnsi"/>
              </w:rPr>
              <w:lastRenderedPageBreak/>
              <w:t>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lastRenderedPageBreak/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267889">
              <w:rPr>
                <w:rFonts w:asciiTheme="minorHAnsi" w:hAnsiTheme="minorHAnsi" w:cstheme="minorHAnsi"/>
              </w:rPr>
              <w:t>Anschluss</w:t>
            </w:r>
            <w:proofErr w:type="spellEnd"/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zna daty </w:t>
            </w:r>
            <w:proofErr w:type="spellStart"/>
            <w:r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  <w:r w:rsidRPr="00267889">
              <w:rPr>
                <w:rFonts w:asciiTheme="minorHAnsi" w:hAnsiTheme="minorHAnsi" w:cstheme="minorHAnsi"/>
              </w:rPr>
              <w:lastRenderedPageBreak/>
              <w:t>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267889">
              <w:rPr>
                <w:rFonts w:asciiTheme="minorHAnsi" w:hAnsiTheme="minorHAnsi" w:cstheme="minorHAnsi"/>
              </w:rPr>
              <w:t>Neville’a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Chamberlaina,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</w:t>
            </w:r>
            <w:r w:rsidRPr="00267889">
              <w:rPr>
                <w:rFonts w:asciiTheme="minorHAnsi" w:hAnsiTheme="minorHAnsi" w:cstheme="minorHAnsi"/>
              </w:rPr>
              <w:lastRenderedPageBreak/>
              <w:t>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appeasementu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Ignacego </w:t>
            </w:r>
            <w:r w:rsidRPr="00B5010D">
              <w:rPr>
                <w:rFonts w:asciiTheme="minorHAnsi" w:hAnsiTheme="minorHAnsi" w:cstheme="minorHAnsi"/>
              </w:rPr>
              <w:lastRenderedPageBreak/>
              <w:t>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Petlurą (IV 1920), bitwy pod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Zadwórznem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(1920), powołania Rady Obrony Państwa (VII </w:t>
            </w:r>
            <w:r w:rsidRPr="00B5010D">
              <w:rPr>
                <w:rFonts w:asciiTheme="minorHAnsi" w:hAnsiTheme="minorHAnsi" w:cstheme="minorHAnsi"/>
              </w:rPr>
              <w:lastRenderedPageBreak/>
              <w:t>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Rewolucyjnego Polski (VII 1920), przekazania Wilna </w:t>
            </w:r>
            <w:r w:rsidRPr="00B5010D">
              <w:rPr>
                <w:rFonts w:asciiTheme="minorHAnsi" w:hAnsiTheme="minorHAnsi" w:cstheme="minorHAnsi"/>
              </w:rPr>
              <w:lastRenderedPageBreak/>
              <w:t>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postać 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lastRenderedPageBreak/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(27 </w:t>
            </w:r>
            <w:r w:rsidRPr="00B5010D">
              <w:rPr>
                <w:rFonts w:asciiTheme="minorHAnsi" w:hAnsiTheme="minorHAnsi" w:cstheme="minorHAnsi"/>
              </w:rPr>
              <w:lastRenderedPageBreak/>
              <w:t>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(11 VII 1920), plebiscytu na </w:t>
            </w:r>
            <w:r w:rsidRPr="00B5010D">
              <w:rPr>
                <w:rFonts w:asciiTheme="minorHAnsi" w:hAnsiTheme="minorHAnsi" w:cstheme="minorHAnsi"/>
              </w:rPr>
              <w:lastRenderedPageBreak/>
              <w:t>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 xml:space="preserve">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przybycia I. J. Paderewskiego </w:t>
            </w:r>
            <w:r w:rsidRPr="00B5010D">
              <w:rPr>
                <w:rFonts w:asciiTheme="minorHAnsi" w:hAnsiTheme="minorHAnsi" w:cstheme="minorHAnsi"/>
              </w:rPr>
              <w:lastRenderedPageBreak/>
              <w:t>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Jana Baudouin de </w:t>
            </w:r>
            <w:proofErr w:type="spellStart"/>
            <w:r w:rsidRPr="00AF2B90">
              <w:rPr>
                <w:rFonts w:asciiTheme="minorHAnsi" w:hAnsiTheme="minorHAnsi" w:cstheme="minorHAnsi"/>
              </w:rPr>
              <w:t>Courtenaya</w:t>
            </w:r>
            <w:proofErr w:type="spellEnd"/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lastRenderedPageBreak/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sierpniowej (2 VIII 1926), powstania </w:t>
            </w:r>
            <w:r w:rsidRPr="00AF2B90">
              <w:rPr>
                <w:rFonts w:asciiTheme="minorHAnsi" w:hAnsiTheme="minorHAnsi" w:cstheme="minorHAnsi"/>
              </w:rPr>
              <w:lastRenderedPageBreak/>
              <w:t>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Kazimierza </w:t>
            </w:r>
            <w:r w:rsidRPr="00AF2B90">
              <w:rPr>
                <w:rFonts w:asciiTheme="minorHAnsi" w:hAnsiTheme="minorHAnsi" w:cstheme="minorHAnsi"/>
              </w:rPr>
              <w:lastRenderedPageBreak/>
              <w:t>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Reforma </w:t>
            </w:r>
            <w:r w:rsidRPr="00F57762">
              <w:rPr>
                <w:rFonts w:ascii="Calibri" w:hAnsi="Calibri" w:cs="HelveticaNeueLTPro-Roman"/>
              </w:rPr>
              <w:lastRenderedPageBreak/>
              <w:t>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Gdyni (1921),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 xml:space="preserve">Polityka wobec </w:t>
            </w:r>
            <w:r w:rsidRPr="00142B8B">
              <w:rPr>
                <w:rFonts w:ascii="Calibri" w:hAnsi="Calibri" w:cs="HelveticaNeueLTPro-Roman"/>
              </w:rPr>
              <w:lastRenderedPageBreak/>
              <w:t>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</w:t>
            </w:r>
            <w:r w:rsidR="009331DE">
              <w:rPr>
                <w:rFonts w:asciiTheme="minorHAnsi" w:hAnsiTheme="minorHAnsi" w:cstheme="minorHAnsi"/>
              </w:rPr>
              <w:lastRenderedPageBreak/>
              <w:t>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lastRenderedPageBreak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w dwudziestoleciu </w:t>
            </w:r>
            <w:r w:rsidRPr="00952E2C">
              <w:rPr>
                <w:rFonts w:asciiTheme="minorHAnsi" w:hAnsiTheme="minorHAnsi" w:cstheme="minorHAnsi"/>
              </w:rPr>
              <w:lastRenderedPageBreak/>
              <w:t>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 xml:space="preserve">art </w:t>
            </w:r>
            <w:proofErr w:type="spellStart"/>
            <w:r w:rsidRPr="00952E2C">
              <w:rPr>
                <w:rFonts w:asciiTheme="minorHAnsi" w:hAnsiTheme="minorHAnsi" w:cstheme="minorHAnsi"/>
                <w:i/>
              </w:rPr>
              <w:t>déco</w:t>
            </w:r>
            <w:proofErr w:type="spellEnd"/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Tadeusza </w:t>
            </w:r>
            <w:r w:rsidRPr="00952E2C">
              <w:rPr>
                <w:rFonts w:asciiTheme="minorHAnsi" w:hAnsiTheme="minorHAnsi" w:cstheme="minorHAnsi"/>
              </w:rPr>
              <w:lastRenderedPageBreak/>
              <w:t>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niemieckiej deklaracji o </w:t>
            </w:r>
            <w:r w:rsidRPr="004B4062">
              <w:rPr>
                <w:rFonts w:asciiTheme="minorHAnsi" w:hAnsiTheme="minorHAnsi" w:cstheme="minorHAnsi"/>
              </w:rPr>
              <w:lastRenderedPageBreak/>
              <w:t>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</w:t>
            </w:r>
            <w:bookmarkStart w:id="0" w:name="_GoBack"/>
            <w:bookmarkEnd w:id="0"/>
            <w:r w:rsidR="009331DE" w:rsidRPr="00AF69F0">
              <w:rPr>
                <w:rFonts w:ascii="Calibri" w:hAnsi="Calibri" w:cs="HelveticaNeueLTPro-Roman"/>
              </w:rPr>
              <w:t>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proofErr w:type="spellStart"/>
            <w:r w:rsidRPr="004B4062">
              <w:rPr>
                <w:rFonts w:asciiTheme="minorHAnsi" w:hAnsiTheme="minorHAnsi" w:cstheme="minorHAnsi"/>
              </w:rPr>
              <w:t>polityczno</w:t>
            </w:r>
            <w:proofErr w:type="spellEnd"/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raz pierwszy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>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(III 1939), przemówienia sejmowego J. Becka </w:t>
            </w:r>
            <w:r w:rsidRPr="004B4062">
              <w:rPr>
                <w:rFonts w:asciiTheme="minorHAnsi" w:hAnsiTheme="minorHAnsi" w:cstheme="minorHAnsi"/>
              </w:rPr>
              <w:lastRenderedPageBreak/>
              <w:t>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16" w:rsidRDefault="00643716" w:rsidP="00495CA6">
      <w:r>
        <w:separator/>
      </w:r>
    </w:p>
  </w:endnote>
  <w:endnote w:type="continuationSeparator" w:id="0">
    <w:p w:rsidR="00643716" w:rsidRDefault="00643716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A2" w:rsidRDefault="00772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69F0">
      <w:rPr>
        <w:noProof/>
      </w:rPr>
      <w:t>48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16" w:rsidRDefault="00643716" w:rsidP="00495CA6">
      <w:r>
        <w:separator/>
      </w:r>
    </w:p>
  </w:footnote>
  <w:footnote w:type="continuationSeparator" w:id="0">
    <w:p w:rsidR="00643716" w:rsidRDefault="00643716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B765-ABF9-4FC8-83C2-79A5D819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50</Pages>
  <Words>12644</Words>
  <Characters>75869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Arkadiusz Wasilewski</cp:lastModifiedBy>
  <cp:revision>446</cp:revision>
  <cp:lastPrinted>2012-06-08T11:25:00Z</cp:lastPrinted>
  <dcterms:created xsi:type="dcterms:W3CDTF">2017-08-29T07:23:00Z</dcterms:created>
  <dcterms:modified xsi:type="dcterms:W3CDTF">2017-09-01T12:38:00Z</dcterms:modified>
</cp:coreProperties>
</file>